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DD" w:rsidRDefault="00405BDD" w:rsidP="00405B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Decreto 34.713/92 com alterações introduzidas pelo Decreto 36.613/94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Artigo 3</w:t>
      </w:r>
      <w:r w:rsidRPr="00405BDD">
        <w:rPr>
          <w:rFonts w:ascii="Helvetica" w:hAnsi="Helvetica" w:cs="Helvetica"/>
          <w:sz w:val="22"/>
          <w:szCs w:val="22"/>
        </w:rPr>
        <w:t>°</w:t>
      </w:r>
      <w:r w:rsidRPr="00405BDD">
        <w:rPr>
          <w:rFonts w:ascii="Helvetica" w:hAnsi="Helvetica" w:cs="Helvetica"/>
          <w:sz w:val="22"/>
          <w:szCs w:val="22"/>
        </w:rPr>
        <w:t xml:space="preserve"> - O Relatório de impacto de vizinhança - RIVI deverá ser apresentado à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Secretaria da Habitação e Desenvolvimento Urbano - SEHAB, instruído com os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seguintes componentes: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 xml:space="preserve">I - </w:t>
      </w:r>
      <w:r w:rsidRPr="00405BDD">
        <w:rPr>
          <w:rFonts w:ascii="Helvetica" w:hAnsi="Helvetica" w:cs="Helvetica"/>
          <w:b/>
          <w:sz w:val="22"/>
          <w:szCs w:val="22"/>
        </w:rPr>
        <w:t>dados</w:t>
      </w:r>
      <w:r w:rsidRPr="00405BDD">
        <w:rPr>
          <w:rFonts w:ascii="Helvetica" w:hAnsi="Helvetica" w:cs="Helvetica"/>
          <w:sz w:val="22"/>
          <w:szCs w:val="22"/>
        </w:rPr>
        <w:t xml:space="preserve"> relativos à </w:t>
      </w:r>
      <w:r w:rsidRPr="00405BDD">
        <w:rPr>
          <w:rFonts w:ascii="Helvetica" w:hAnsi="Helvetica" w:cs="Helvetica"/>
          <w:b/>
          <w:sz w:val="22"/>
          <w:szCs w:val="22"/>
        </w:rPr>
        <w:t>análise da adequação</w:t>
      </w:r>
      <w:r w:rsidRPr="00405BDD">
        <w:rPr>
          <w:rFonts w:ascii="Helvetica" w:hAnsi="Helvetica" w:cs="Helvetica"/>
          <w:sz w:val="22"/>
          <w:szCs w:val="22"/>
        </w:rPr>
        <w:t xml:space="preserve"> do empreendimento </w:t>
      </w:r>
      <w:r w:rsidRPr="00405BDD">
        <w:rPr>
          <w:rFonts w:ascii="Helvetica" w:hAnsi="Helvetica" w:cs="Helvetica"/>
          <w:b/>
          <w:sz w:val="22"/>
          <w:szCs w:val="22"/>
        </w:rPr>
        <w:t>às</w:t>
      </w:r>
      <w:r w:rsidRPr="00405BDD">
        <w:rPr>
          <w:rFonts w:ascii="Helvetica" w:hAnsi="Helvetica" w:cs="Helvetica"/>
          <w:b/>
          <w:sz w:val="22"/>
          <w:szCs w:val="22"/>
        </w:rPr>
        <w:t xml:space="preserve"> </w:t>
      </w:r>
      <w:r w:rsidRPr="00405BDD">
        <w:rPr>
          <w:rFonts w:ascii="Helvetica" w:hAnsi="Helvetica" w:cs="Helvetica"/>
          <w:b/>
          <w:sz w:val="22"/>
          <w:szCs w:val="22"/>
        </w:rPr>
        <w:t>condições do</w:t>
      </w:r>
      <w:r w:rsidRPr="00405BDD">
        <w:rPr>
          <w:rFonts w:ascii="Helvetica" w:hAnsi="Helvetica" w:cs="Helvetica"/>
          <w:sz w:val="22"/>
          <w:szCs w:val="22"/>
        </w:rPr>
        <w:t xml:space="preserve"> local e do </w:t>
      </w:r>
      <w:r w:rsidRPr="00405BDD">
        <w:rPr>
          <w:rFonts w:ascii="Helvetica" w:hAnsi="Helvetica" w:cs="Helvetica"/>
          <w:b/>
          <w:sz w:val="22"/>
          <w:szCs w:val="22"/>
        </w:rPr>
        <w:t>entorno</w:t>
      </w:r>
      <w:r w:rsidRPr="00405BDD">
        <w:rPr>
          <w:rFonts w:ascii="Helvetica" w:hAnsi="Helvetica" w:cs="Helvetica"/>
          <w:sz w:val="22"/>
          <w:szCs w:val="22"/>
        </w:rPr>
        <w:t>: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a) localização e acessos gerais;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b) atividades previstas;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c) áreas, dimensões, volumetria;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 xml:space="preserve">d) levantamento </w:t>
      </w:r>
      <w:proofErr w:type="spellStart"/>
      <w:r w:rsidRPr="00405BDD">
        <w:rPr>
          <w:rFonts w:ascii="Helvetica" w:hAnsi="Helvetica" w:cs="Helvetica"/>
          <w:sz w:val="22"/>
          <w:szCs w:val="22"/>
        </w:rPr>
        <w:t>plani-altimétrico</w:t>
      </w:r>
      <w:proofErr w:type="spellEnd"/>
      <w:r w:rsidRPr="00405BDD">
        <w:rPr>
          <w:rFonts w:ascii="Helvetica" w:hAnsi="Helvetica" w:cs="Helvetica"/>
          <w:sz w:val="22"/>
          <w:szCs w:val="22"/>
        </w:rPr>
        <w:t xml:space="preserve"> do imóvel;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e) mapeamento das redes de água pluvial; água, esgoto, luz e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telefone no perímetro do empreendimento;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f) capacidade de atendimento pelas concessionárias de redes de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água pluvial, água, esgoto e telefone para a implantação do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empreendimento;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 xml:space="preserve">g) levantamento dos usos e volumetria de </w:t>
      </w:r>
      <w:proofErr w:type="gramStart"/>
      <w:r w:rsidRPr="00405BDD">
        <w:rPr>
          <w:rFonts w:ascii="Helvetica" w:hAnsi="Helvetica" w:cs="Helvetica"/>
          <w:sz w:val="22"/>
          <w:szCs w:val="22"/>
        </w:rPr>
        <w:t>todos o</w:t>
      </w:r>
      <w:proofErr w:type="gramEnd"/>
      <w:r w:rsidRPr="00405BDD">
        <w:rPr>
          <w:rFonts w:ascii="Helvetica" w:hAnsi="Helvetica" w:cs="Helvetica"/>
          <w:sz w:val="22"/>
          <w:szCs w:val="22"/>
        </w:rPr>
        <w:t xml:space="preserve"> imóveis e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construções existentes, localizados nas quadras limítrofes à quadra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ou quadras onde o imóvel está localizado;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h) indicação das zonas de uso constantes da legislação de uso e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ocupação do solo das quadras limítrofes à quadra ou quadras onde o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imóvel está localizado;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i) indicação dos bens tombados pelo COMPRESP ou pelo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CONDEPHAAT, no raio de 300 (trezentos) metros contados do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 xml:space="preserve">perímetro do </w:t>
      </w:r>
      <w:proofErr w:type="gramStart"/>
      <w:r w:rsidRPr="00405BDD">
        <w:rPr>
          <w:rFonts w:ascii="Helvetica" w:hAnsi="Helvetica" w:cs="Helvetica"/>
          <w:sz w:val="22"/>
          <w:szCs w:val="22"/>
        </w:rPr>
        <w:t>imóvel ou imóveis onde o empreendimento está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localizado</w:t>
      </w:r>
      <w:proofErr w:type="gramEnd"/>
      <w:r w:rsidRPr="00405BDD">
        <w:rPr>
          <w:rFonts w:ascii="Helvetica" w:hAnsi="Helvetica" w:cs="Helvetica"/>
          <w:sz w:val="22"/>
          <w:szCs w:val="22"/>
        </w:rPr>
        <w:t>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 xml:space="preserve">II - Dados necessários à análise das </w:t>
      </w:r>
      <w:r w:rsidRPr="00405BDD">
        <w:rPr>
          <w:rFonts w:ascii="Helvetica" w:hAnsi="Helvetica" w:cs="Helvetica"/>
          <w:b/>
          <w:sz w:val="22"/>
          <w:szCs w:val="22"/>
        </w:rPr>
        <w:t>condições viárias da região</w:t>
      </w:r>
      <w:r w:rsidRPr="00405BDD">
        <w:rPr>
          <w:rFonts w:ascii="Helvetica" w:hAnsi="Helvetica" w:cs="Helvetica"/>
          <w:sz w:val="22"/>
          <w:szCs w:val="22"/>
        </w:rPr>
        <w:t>: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a) entradas, saídas, geração de viagens e distribuição no sistema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viário;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b) sistema viário e de transportes coletivos do entorno;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c) demarcação de melhoramentos públicos, em execução ou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aprovados por lei na vizinhança;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d) compatibilização do sistema viário com o empreendimento;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e) certidão de diretrizes fornecida pela Secretaria Municipal de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 xml:space="preserve">Transportes - </w:t>
      </w:r>
      <w:r w:rsidRPr="00405BDD">
        <w:rPr>
          <w:rFonts w:ascii="Helvetica" w:hAnsi="Helvetica" w:cs="Helvetica"/>
          <w:sz w:val="22"/>
          <w:szCs w:val="22"/>
        </w:rPr>
        <w:t>S</w:t>
      </w:r>
      <w:r w:rsidRPr="00405BDD">
        <w:rPr>
          <w:rFonts w:ascii="Helvetica" w:hAnsi="Helvetica" w:cs="Helvetica"/>
          <w:sz w:val="22"/>
          <w:szCs w:val="22"/>
        </w:rPr>
        <w:t>MT;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 xml:space="preserve">III - Dados necessários à análise de </w:t>
      </w:r>
      <w:bookmarkStart w:id="0" w:name="_GoBack"/>
      <w:r w:rsidRPr="00405BDD">
        <w:rPr>
          <w:rFonts w:ascii="Helvetica" w:hAnsi="Helvetica" w:cs="Helvetica"/>
          <w:b/>
          <w:sz w:val="22"/>
          <w:szCs w:val="22"/>
        </w:rPr>
        <w:t>condições ambientais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bookmarkEnd w:id="0"/>
      <w:r w:rsidRPr="00405BDD">
        <w:rPr>
          <w:rFonts w:ascii="Helvetica" w:hAnsi="Helvetica" w:cs="Helvetica"/>
          <w:sz w:val="22"/>
          <w:szCs w:val="22"/>
        </w:rPr>
        <w:t>específicas do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local e seu entorno: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a) produção e nível de ruído;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b) produção e volume de partículas em suspensão e de fumaça;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c) destino final do material resultante do movimento de terra;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d) destino final do entulho da obra;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ind w:left="708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e) existência de recobrimento vegetal de grande porte no terreno.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-Bold" w:hAnsi="Helvetica-Bold" w:cs="Helvetica-Bold"/>
          <w:b/>
          <w:bCs/>
          <w:sz w:val="22"/>
          <w:szCs w:val="22"/>
        </w:rPr>
      </w:pP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-Bold" w:hAnsi="Helvetica-Bold" w:cs="Helvetica-Bold"/>
          <w:b/>
          <w:bCs/>
          <w:sz w:val="22"/>
          <w:szCs w:val="22"/>
        </w:rPr>
      </w:pPr>
      <w:r w:rsidRPr="00405BDD">
        <w:rPr>
          <w:rFonts w:ascii="Helvetica-Bold" w:hAnsi="Helvetica-Bold" w:cs="Helvetica-Bold"/>
          <w:b/>
          <w:bCs/>
          <w:sz w:val="22"/>
          <w:szCs w:val="22"/>
        </w:rPr>
        <w:t>CORREÇÃO DE IMPACTOS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-Bold" w:hAnsi="Helvetica-Bold" w:cs="Helvetica-Bold"/>
          <w:b/>
          <w:bCs/>
          <w:sz w:val="22"/>
          <w:szCs w:val="22"/>
        </w:rPr>
      </w:pPr>
      <w:r w:rsidRPr="00405BDD">
        <w:rPr>
          <w:rFonts w:ascii="Helvetica-Bold" w:hAnsi="Helvetica-Bold" w:cs="Helvetica-Bold"/>
          <w:b/>
          <w:bCs/>
          <w:sz w:val="22"/>
          <w:szCs w:val="22"/>
        </w:rPr>
        <w:t>IMPACTO SOBRE SISTEMA VIÁRIO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 xml:space="preserve">Lei 10.506 de </w:t>
      </w:r>
      <w:proofErr w:type="gramStart"/>
      <w:r w:rsidRPr="00405BDD">
        <w:rPr>
          <w:rFonts w:ascii="Helvetica" w:hAnsi="Helvetica" w:cs="Helvetica"/>
          <w:sz w:val="22"/>
          <w:szCs w:val="22"/>
        </w:rPr>
        <w:t>4</w:t>
      </w:r>
      <w:proofErr w:type="gramEnd"/>
      <w:r w:rsidRPr="00405BDD">
        <w:rPr>
          <w:rFonts w:ascii="Helvetica" w:hAnsi="Helvetica" w:cs="Helvetica"/>
          <w:sz w:val="22"/>
          <w:szCs w:val="22"/>
        </w:rPr>
        <w:t xml:space="preserve"> de maio de 1988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lastRenderedPageBreak/>
        <w:t>Artigo 1</w:t>
      </w:r>
      <w:r>
        <w:rPr>
          <w:rFonts w:ascii="Helvetica" w:hAnsi="Helvetica" w:cs="Helvetica"/>
          <w:sz w:val="22"/>
          <w:szCs w:val="22"/>
        </w:rPr>
        <w:t>°</w:t>
      </w:r>
      <w:r w:rsidRPr="00405BDD">
        <w:rPr>
          <w:rFonts w:ascii="Helvetica" w:hAnsi="Helvetica" w:cs="Helvetica"/>
          <w:sz w:val="22"/>
          <w:szCs w:val="22"/>
        </w:rPr>
        <w:t xml:space="preserve"> - Quando a implantação de um empreendimento particular determinar </w:t>
      </w:r>
      <w:r w:rsidRPr="00405BDD">
        <w:rPr>
          <w:rFonts w:ascii="Helvetica" w:hAnsi="Helvetica" w:cs="Helvetica"/>
          <w:sz w:val="22"/>
          <w:szCs w:val="22"/>
        </w:rPr>
        <w:t xml:space="preserve">a </w:t>
      </w:r>
      <w:r w:rsidRPr="00405BDD">
        <w:rPr>
          <w:rFonts w:ascii="Helvetica" w:hAnsi="Helvetica" w:cs="Helvetica"/>
          <w:sz w:val="22"/>
          <w:szCs w:val="22"/>
        </w:rPr>
        <w:t>necessidade de execução de obras e serviços relacionados à operação do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sistema viário, o interessado arcará integralmente com as despesas</w:t>
      </w:r>
      <w:r w:rsidRPr="00405BDD">
        <w:rPr>
          <w:rFonts w:ascii="Helvetica" w:hAnsi="Helvetica" w:cs="Helvetica"/>
          <w:sz w:val="22"/>
          <w:szCs w:val="22"/>
        </w:rPr>
        <w:t xml:space="preserve"> d</w:t>
      </w:r>
      <w:r w:rsidRPr="00405BDD">
        <w:rPr>
          <w:rFonts w:ascii="Helvetica" w:hAnsi="Helvetica" w:cs="Helvetica"/>
          <w:sz w:val="22"/>
          <w:szCs w:val="22"/>
        </w:rPr>
        <w:t>ecorrentes.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-Bold" w:hAnsi="Helvetica-Bold" w:cs="Helvetica-Bold"/>
          <w:b/>
          <w:bCs/>
          <w:sz w:val="22"/>
          <w:szCs w:val="22"/>
        </w:rPr>
      </w:pPr>
      <w:r w:rsidRPr="00405BDD">
        <w:rPr>
          <w:rFonts w:ascii="Helvetica-Bold" w:hAnsi="Helvetica-Bold" w:cs="Helvetica-Bold"/>
          <w:b/>
          <w:bCs/>
          <w:sz w:val="22"/>
          <w:szCs w:val="22"/>
        </w:rPr>
        <w:t>IMPACTO SOBRE A DRENAGEM DE ÁGUAS PLÚVIAIS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Lei 11.288 de 26-06-1992</w:t>
      </w:r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Secção 10.13 - Obras junto a represas, lagos e cursos d'</w:t>
      </w:r>
      <w:proofErr w:type="gramStart"/>
      <w:r w:rsidRPr="00405BDD">
        <w:rPr>
          <w:rFonts w:ascii="Helvetica" w:hAnsi="Helvetica" w:cs="Helvetica"/>
          <w:sz w:val="22"/>
          <w:szCs w:val="22"/>
        </w:rPr>
        <w:t>água</w:t>
      </w:r>
      <w:proofErr w:type="gramEnd"/>
    </w:p>
    <w:p w:rsidR="00405BDD" w:rsidRPr="00405BDD" w:rsidRDefault="00405BDD" w:rsidP="00405BDD">
      <w:p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A execução de qualquer tipo de obra junto a represas, lagos, lagoas, rios,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 xml:space="preserve">córregos, faixas de escoamento de águas pluviais, galerias ou canalizações </w:t>
      </w:r>
      <w:proofErr w:type="gramStart"/>
      <w:r w:rsidRPr="00405BDD">
        <w:rPr>
          <w:rFonts w:ascii="Helvetica" w:hAnsi="Helvetica" w:cs="Helvetica"/>
          <w:sz w:val="22"/>
          <w:szCs w:val="22"/>
        </w:rPr>
        <w:t>será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permitida</w:t>
      </w:r>
      <w:proofErr w:type="gramEnd"/>
      <w:r w:rsidRPr="00405BDD">
        <w:rPr>
          <w:rFonts w:ascii="Helvetica" w:hAnsi="Helvetica" w:cs="Helvetica"/>
          <w:sz w:val="22"/>
          <w:szCs w:val="22"/>
        </w:rPr>
        <w:t xml:space="preserve"> somente após devidamente demonstrados os cuidados a serem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adotados, visando em especial a proteção contra inundações e garantia de livre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escoamento das águas.</w:t>
      </w:r>
    </w:p>
    <w:p w:rsidR="00E219CE" w:rsidRPr="00405BDD" w:rsidRDefault="00405BDD" w:rsidP="00405BDD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405BDD">
        <w:rPr>
          <w:rFonts w:ascii="Helvetica" w:hAnsi="Helvetica" w:cs="Helvetica"/>
          <w:sz w:val="22"/>
          <w:szCs w:val="22"/>
        </w:rPr>
        <w:t>10.13.2 - A implantação da obra pretendida poderá ser condicionada à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prévia</w:t>
      </w:r>
      <w:r w:rsidRPr="00405BDD">
        <w:rPr>
          <w:rFonts w:ascii="Helvetica" w:hAnsi="Helvetica" w:cs="Helvetica"/>
          <w:sz w:val="22"/>
          <w:szCs w:val="22"/>
        </w:rPr>
        <w:t xml:space="preserve"> </w:t>
      </w:r>
      <w:r w:rsidRPr="00405BDD">
        <w:rPr>
          <w:rFonts w:ascii="Helvetica" w:hAnsi="Helvetica" w:cs="Helvetica"/>
          <w:sz w:val="22"/>
          <w:szCs w:val="22"/>
        </w:rPr>
        <w:t>execução de benfeitorias julgadas indispensáveis à estabilidade ou</w:t>
      </w:r>
      <w:r w:rsidRPr="00405BDD">
        <w:rPr>
          <w:rFonts w:ascii="Helvetica" w:hAnsi="Helvetica" w:cs="Helvetica"/>
          <w:sz w:val="22"/>
          <w:szCs w:val="22"/>
        </w:rPr>
        <w:t xml:space="preserve"> s</w:t>
      </w:r>
      <w:r w:rsidRPr="00405BDD">
        <w:rPr>
          <w:rFonts w:ascii="Helvetica" w:hAnsi="Helvetica" w:cs="Helvetica"/>
          <w:sz w:val="22"/>
          <w:szCs w:val="22"/>
        </w:rPr>
        <w:t>aneamento local.</w:t>
      </w:r>
    </w:p>
    <w:sectPr w:rsidR="00E219CE" w:rsidRPr="00405BDD" w:rsidSect="00405BD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DD"/>
    <w:rsid w:val="00405BDD"/>
    <w:rsid w:val="0050672A"/>
    <w:rsid w:val="00553C9A"/>
    <w:rsid w:val="00AE6244"/>
    <w:rsid w:val="00E219CE"/>
    <w:rsid w:val="00F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Gládis Weissheimer</dc:creator>
  <cp:lastModifiedBy>Gládis Weissheimer</cp:lastModifiedBy>
  <cp:revision>1</cp:revision>
  <dcterms:created xsi:type="dcterms:W3CDTF">2014-04-11T20:15:00Z</dcterms:created>
  <dcterms:modified xsi:type="dcterms:W3CDTF">2014-04-11T20:22:00Z</dcterms:modified>
</cp:coreProperties>
</file>